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</w:t>
      </w:r>
    </w:p>
    <w:p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>
      <w:pPr>
        <w:jc w:val="left"/>
        <w:rPr>
          <w:rFonts w:ascii="仿宋_GB2312" w:eastAsia="仿宋_GB2312" w:hAnsiTheme="minorEastAsia"/>
          <w:sz w:val="28"/>
          <w:szCs w:val="28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经认真研究贵司提供的《绿港•云海湾南区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零星劳务询价函》，我单位符合竞标条件要求，并自愿承接绿港•云海湾南区零星劳务工程。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完成工作。</w:t>
      </w:r>
    </w:p>
    <w:p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二、我方的报价为：总价为人民币      元（大写：）， 大工单价为    元/天，小工单价为    元/天，工日数量暂按：大工为270工日，小工为130工日。</w:t>
      </w:r>
    </w:p>
    <w:p>
      <w:pPr>
        <w:widowControl/>
        <w:spacing w:after="150" w:line="600" w:lineRule="exact"/>
        <w:ind w:left="300" w:leftChars="143"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以上报价中：每工日的工作时间为8小时，不分昼夜；工日单价包含了：</w:t>
      </w:r>
      <w:r>
        <w:rPr>
          <w:rFonts w:hint="eastAsia" w:ascii="仿宋_GB2312" w:eastAsia="仿宋_GB2312" w:hAnsiTheme="minorEastAsia"/>
          <w:sz w:val="32"/>
          <w:szCs w:val="32"/>
        </w:rPr>
        <w:t>人工（含工人的劳动工具及劳保用品）、安全文明施工费、清理费、利润、管理费、税金等为完成劳务施工的一切费用（不含材料、设备、机械），在合同实行过程中不作调整；大工主要包含：砌筑工、抹灰工、砼工、铺装工、铝合金安装工、腻子工、涂料工，油漆工，防水工，水电工、架子工、模板工、木工、沥青工、高空作业工等技术工种，价格统一；小工主要包含：拌浆工、运输工、绿化工、清理工、保洁工、搬运工，杂工等普通工种，价格统一。最终的劳务费用以现场签证的工日数量计算结果为准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四、劳务费用实行按月支付，支付限额为当月劳务费用的80%；待劳务费用结算完成后，贵司一次性将余款支付给我司。贵司付款前，我司将提供等额的劳务发票，否则贵司拒绝付款。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附件：1、营业执照、资质证书、安全生产许可证复印件加盖公章（注：放在文件袋外无需密封，在提交文件时一并提交）。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</w:p>
    <w:p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